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6583" w:rsidRDefault="00716583">
      <w:pPr>
        <w:pStyle w:val="ConsPlusTitlePage"/>
      </w:pPr>
      <w:bookmarkStart w:id="0" w:name="_GoBack"/>
      <w:bookmarkEnd w:id="0"/>
      <w:r>
        <w:t xml:space="preserve">Документ предоставлен </w:t>
      </w:r>
      <w:hyperlink r:id="rId5">
        <w:r>
          <w:rPr>
            <w:color w:val="0000FF"/>
          </w:rPr>
          <w:t>КонсультантПлюс</w:t>
        </w:r>
      </w:hyperlink>
      <w:r>
        <w:br/>
      </w:r>
    </w:p>
    <w:p w:rsidR="00716583" w:rsidRDefault="00716583">
      <w:pPr>
        <w:pStyle w:val="ConsPlusNormal"/>
        <w:jc w:val="both"/>
        <w:outlineLvl w:val="0"/>
      </w:pPr>
    </w:p>
    <w:p w:rsidR="00716583" w:rsidRDefault="00716583">
      <w:pPr>
        <w:pStyle w:val="ConsPlusTitle"/>
        <w:jc w:val="center"/>
        <w:outlineLvl w:val="0"/>
      </w:pPr>
      <w:r>
        <w:t>ПРАВИТЕЛЬСТВО РОССИЙСКОЙ ФЕДЕРАЦИИ</w:t>
      </w:r>
    </w:p>
    <w:p w:rsidR="00716583" w:rsidRDefault="00716583">
      <w:pPr>
        <w:pStyle w:val="ConsPlusTitle"/>
        <w:jc w:val="both"/>
      </w:pPr>
    </w:p>
    <w:p w:rsidR="00716583" w:rsidRDefault="00716583">
      <w:pPr>
        <w:pStyle w:val="ConsPlusTitle"/>
        <w:jc w:val="center"/>
      </w:pPr>
      <w:r>
        <w:t>РАСПОРЯЖЕНИЕ</w:t>
      </w:r>
    </w:p>
    <w:p w:rsidR="00716583" w:rsidRDefault="00716583">
      <w:pPr>
        <w:pStyle w:val="ConsPlusTitle"/>
        <w:jc w:val="center"/>
      </w:pPr>
      <w:r>
        <w:t>от 15 января 2025 г. N 10-р</w:t>
      </w:r>
    </w:p>
    <w:p w:rsidR="00716583" w:rsidRDefault="00716583">
      <w:pPr>
        <w:pStyle w:val="ConsPlusNormal"/>
        <w:jc w:val="both"/>
      </w:pPr>
    </w:p>
    <w:p w:rsidR="00716583" w:rsidRDefault="00716583">
      <w:pPr>
        <w:pStyle w:val="ConsPlusNormal"/>
        <w:ind w:firstLine="540"/>
        <w:jc w:val="both"/>
      </w:pPr>
      <w:r>
        <w:t xml:space="preserve">1. Утвердить прилагаемые </w:t>
      </w:r>
      <w:hyperlink w:anchor="P22">
        <w:r>
          <w:rPr>
            <w:color w:val="0000FF"/>
          </w:rPr>
          <w:t>изменения</w:t>
        </w:r>
      </w:hyperlink>
      <w:r>
        <w:t xml:space="preserve">, которые вносятся в </w:t>
      </w:r>
      <w:hyperlink r:id="rId6">
        <w:r>
          <w:rPr>
            <w:color w:val="0000FF"/>
          </w:rPr>
          <w:t>распоряжение</w:t>
        </w:r>
      </w:hyperlink>
      <w:r>
        <w:t xml:space="preserve"> Правительства Российской Федерации от 12 октября 2019 г. N 2406-р (Собрание законодательства Российской Федерации, 2019, N 42, ст. 5979; 2020, N 18, ст. 2958; N 42, ст. 6692; N 48, ст. 7813; 2022, N 1, ст. 277; N 14, ст. 2331; N 35, ст. 6191; N 42, ст. 7205; 2023, N 1, ст. 370; N 25, ст. 4613; 2024, N 17, ст. 2377).</w:t>
      </w:r>
    </w:p>
    <w:p w:rsidR="00716583" w:rsidRDefault="00716583">
      <w:pPr>
        <w:pStyle w:val="ConsPlusNormal"/>
        <w:spacing w:before="220"/>
        <w:ind w:firstLine="540"/>
        <w:jc w:val="both"/>
      </w:pPr>
      <w:r>
        <w:t>2. Настоящее распоряжение вступает в силу по истечении 2 месяцев со дня его официального опубликования.</w:t>
      </w:r>
    </w:p>
    <w:p w:rsidR="00716583" w:rsidRDefault="00716583">
      <w:pPr>
        <w:pStyle w:val="ConsPlusNormal"/>
        <w:jc w:val="both"/>
      </w:pPr>
    </w:p>
    <w:p w:rsidR="00716583" w:rsidRDefault="00716583">
      <w:pPr>
        <w:pStyle w:val="ConsPlusNormal"/>
        <w:jc w:val="right"/>
      </w:pPr>
      <w:r>
        <w:t>Председатель Правительства</w:t>
      </w:r>
    </w:p>
    <w:p w:rsidR="00716583" w:rsidRDefault="00716583">
      <w:pPr>
        <w:pStyle w:val="ConsPlusNormal"/>
        <w:jc w:val="right"/>
      </w:pPr>
      <w:r>
        <w:t>Российской Федерации</w:t>
      </w:r>
    </w:p>
    <w:p w:rsidR="00716583" w:rsidRDefault="00716583">
      <w:pPr>
        <w:pStyle w:val="ConsPlusNormal"/>
        <w:jc w:val="right"/>
      </w:pPr>
      <w:r>
        <w:t>М.МИШУСТИН</w:t>
      </w:r>
    </w:p>
    <w:p w:rsidR="00716583" w:rsidRDefault="00716583">
      <w:pPr>
        <w:pStyle w:val="ConsPlusNormal"/>
        <w:jc w:val="both"/>
      </w:pPr>
    </w:p>
    <w:p w:rsidR="00716583" w:rsidRDefault="00716583">
      <w:pPr>
        <w:pStyle w:val="ConsPlusNormal"/>
        <w:jc w:val="both"/>
      </w:pPr>
    </w:p>
    <w:p w:rsidR="00716583" w:rsidRDefault="00716583">
      <w:pPr>
        <w:pStyle w:val="ConsPlusNormal"/>
        <w:jc w:val="both"/>
      </w:pPr>
    </w:p>
    <w:p w:rsidR="00716583" w:rsidRDefault="00716583">
      <w:pPr>
        <w:pStyle w:val="ConsPlusNormal"/>
        <w:jc w:val="both"/>
      </w:pPr>
    </w:p>
    <w:p w:rsidR="00716583" w:rsidRDefault="00716583">
      <w:pPr>
        <w:pStyle w:val="ConsPlusNormal"/>
        <w:jc w:val="both"/>
      </w:pPr>
    </w:p>
    <w:p w:rsidR="00716583" w:rsidRDefault="00716583">
      <w:pPr>
        <w:pStyle w:val="ConsPlusNormal"/>
        <w:jc w:val="right"/>
        <w:outlineLvl w:val="0"/>
      </w:pPr>
      <w:r>
        <w:t>Утверждены</w:t>
      </w:r>
    </w:p>
    <w:p w:rsidR="00716583" w:rsidRDefault="00716583">
      <w:pPr>
        <w:pStyle w:val="ConsPlusNormal"/>
        <w:jc w:val="right"/>
      </w:pPr>
      <w:r>
        <w:t>распоряжением Правительства</w:t>
      </w:r>
    </w:p>
    <w:p w:rsidR="00716583" w:rsidRDefault="00716583">
      <w:pPr>
        <w:pStyle w:val="ConsPlusNormal"/>
        <w:jc w:val="right"/>
      </w:pPr>
      <w:r>
        <w:t>Российской Федерации</w:t>
      </w:r>
    </w:p>
    <w:p w:rsidR="00716583" w:rsidRDefault="00716583">
      <w:pPr>
        <w:pStyle w:val="ConsPlusNormal"/>
        <w:jc w:val="right"/>
      </w:pPr>
      <w:r>
        <w:t>от 15 января 2025 г. N 10-р</w:t>
      </w:r>
    </w:p>
    <w:p w:rsidR="00716583" w:rsidRDefault="00716583">
      <w:pPr>
        <w:pStyle w:val="ConsPlusNormal"/>
        <w:jc w:val="both"/>
      </w:pPr>
    </w:p>
    <w:p w:rsidR="00716583" w:rsidRDefault="00716583">
      <w:pPr>
        <w:pStyle w:val="ConsPlusTitle"/>
        <w:jc w:val="center"/>
      </w:pPr>
      <w:bookmarkStart w:id="1" w:name="P22"/>
      <w:bookmarkEnd w:id="1"/>
      <w:r>
        <w:t>ИЗМЕНЕНИЯ,</w:t>
      </w:r>
    </w:p>
    <w:p w:rsidR="00716583" w:rsidRDefault="00716583">
      <w:pPr>
        <w:pStyle w:val="ConsPlusTitle"/>
        <w:jc w:val="center"/>
      </w:pPr>
      <w:r>
        <w:t>КОТОРЫЕ ВНОСЯТСЯ В РАСПОРЯЖЕНИЕ ПРАВИТЕЛЬСТВА</w:t>
      </w:r>
    </w:p>
    <w:p w:rsidR="00716583" w:rsidRDefault="00716583">
      <w:pPr>
        <w:pStyle w:val="ConsPlusTitle"/>
        <w:jc w:val="center"/>
      </w:pPr>
      <w:r>
        <w:t>РОССИЙСКОЙ ФЕДЕРАЦИИ ОТ 12 ОКТЯБРЯ 2019 Г. N 2406-Р</w:t>
      </w:r>
    </w:p>
    <w:p w:rsidR="00716583" w:rsidRDefault="00716583">
      <w:pPr>
        <w:pStyle w:val="ConsPlusNormal"/>
        <w:jc w:val="both"/>
      </w:pPr>
    </w:p>
    <w:p w:rsidR="00716583" w:rsidRDefault="00716583">
      <w:pPr>
        <w:pStyle w:val="ConsPlusNormal"/>
        <w:ind w:firstLine="540"/>
        <w:jc w:val="both"/>
      </w:pPr>
      <w:r>
        <w:t xml:space="preserve">1. В </w:t>
      </w:r>
      <w:hyperlink r:id="rId7">
        <w:r>
          <w:rPr>
            <w:color w:val="0000FF"/>
          </w:rPr>
          <w:t>приложении N 1</w:t>
        </w:r>
      </w:hyperlink>
      <w:r>
        <w:t xml:space="preserve"> к указанному распоряжению:</w:t>
      </w:r>
    </w:p>
    <w:p w:rsidR="00716583" w:rsidRDefault="00716583">
      <w:pPr>
        <w:pStyle w:val="ConsPlusNormal"/>
        <w:spacing w:before="220"/>
        <w:ind w:firstLine="540"/>
        <w:jc w:val="both"/>
      </w:pPr>
      <w:r>
        <w:t xml:space="preserve">а) </w:t>
      </w:r>
      <w:hyperlink r:id="rId8">
        <w:r>
          <w:rPr>
            <w:color w:val="0000FF"/>
          </w:rPr>
          <w:t>позицию</w:t>
        </w:r>
      </w:hyperlink>
      <w:r>
        <w:t>, касающуюся A10AB, изложить в следующей редакции:</w:t>
      </w:r>
    </w:p>
    <w:p w:rsidR="00716583" w:rsidRDefault="00716583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2608"/>
        <w:gridCol w:w="1814"/>
        <w:gridCol w:w="3628"/>
      </w:tblGrid>
      <w:tr w:rsidR="00716583"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  <w:jc w:val="center"/>
            </w:pPr>
            <w:r>
              <w:t>"A10AB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инсулины короткого действия и их аналоги для инъекционного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инсулин аспарт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раствор для подкожного и внутривенного введения</w:t>
            </w:r>
          </w:p>
        </w:tc>
      </w:tr>
      <w:tr w:rsidR="00716583"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инсулин глулизин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716583"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инсулин лизпро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раствор для внутривенного и подкожного введения;</w:t>
            </w:r>
          </w:p>
          <w:p w:rsidR="00716583" w:rsidRDefault="00716583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716583"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инсулин растворимый (человеческий генно-инженерный)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раствор для инъекций";</w:t>
            </w:r>
          </w:p>
        </w:tc>
      </w:tr>
    </w:tbl>
    <w:p w:rsidR="00716583" w:rsidRDefault="00716583">
      <w:pPr>
        <w:pStyle w:val="ConsPlusNormal"/>
        <w:jc w:val="both"/>
      </w:pPr>
    </w:p>
    <w:p w:rsidR="00716583" w:rsidRDefault="00716583">
      <w:pPr>
        <w:pStyle w:val="ConsPlusNormal"/>
        <w:ind w:firstLine="540"/>
        <w:jc w:val="both"/>
      </w:pPr>
      <w:r>
        <w:t xml:space="preserve">б) после </w:t>
      </w:r>
      <w:hyperlink r:id="rId9">
        <w:r>
          <w:rPr>
            <w:color w:val="0000FF"/>
          </w:rPr>
          <w:t>позиции</w:t>
        </w:r>
      </w:hyperlink>
      <w:r>
        <w:t>, касающейся A10BB, дополнить позицией следующего содержания:</w:t>
      </w:r>
    </w:p>
    <w:p w:rsidR="00716583" w:rsidRDefault="00716583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2608"/>
        <w:gridCol w:w="1814"/>
        <w:gridCol w:w="3628"/>
      </w:tblGrid>
      <w:tr w:rsidR="00716583"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  <w:jc w:val="center"/>
            </w:pPr>
            <w:r>
              <w:lastRenderedPageBreak/>
              <w:t>"A10BD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комбинированные препараты пероральных гипогликемических средств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алоглиптин + пиоглитазон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таблетки, покрытые пленочной оболочкой";</w:t>
            </w:r>
          </w:p>
        </w:tc>
      </w:tr>
    </w:tbl>
    <w:p w:rsidR="00716583" w:rsidRDefault="00716583">
      <w:pPr>
        <w:pStyle w:val="ConsPlusNormal"/>
        <w:jc w:val="both"/>
      </w:pPr>
    </w:p>
    <w:p w:rsidR="00716583" w:rsidRDefault="00716583">
      <w:pPr>
        <w:pStyle w:val="ConsPlusNormal"/>
        <w:ind w:firstLine="540"/>
        <w:jc w:val="both"/>
      </w:pPr>
      <w:r>
        <w:t xml:space="preserve">в) </w:t>
      </w:r>
      <w:hyperlink r:id="rId10">
        <w:r>
          <w:rPr>
            <w:color w:val="0000FF"/>
          </w:rPr>
          <w:t>позицию</w:t>
        </w:r>
      </w:hyperlink>
      <w:r>
        <w:t>, касающуюся B01AF, изложить в следующей редакции:</w:t>
      </w:r>
    </w:p>
    <w:p w:rsidR="00716583" w:rsidRDefault="00716583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2608"/>
        <w:gridCol w:w="1814"/>
        <w:gridCol w:w="3628"/>
      </w:tblGrid>
      <w:tr w:rsidR="00716583"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  <w:jc w:val="center"/>
            </w:pPr>
            <w:r>
              <w:t>"B01AF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прямые ингибиторы фактора Xa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апиксабан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16583"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ривароксабан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16583"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N-(5-Хлорпиридин-2-ил)-5-метил-2-(4-(N-метилацетимидамидо</w:t>
            </w:r>
            <w:proofErr w:type="gramStart"/>
            <w:r>
              <w:t>)б</w:t>
            </w:r>
            <w:proofErr w:type="gramEnd"/>
            <w:r>
              <w:t>ензамидо)бензамида гидрохлорид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таблетки кишечнорастворимые, покрытые пленочной оболочкой";</w:t>
            </w:r>
          </w:p>
        </w:tc>
      </w:tr>
    </w:tbl>
    <w:p w:rsidR="00716583" w:rsidRDefault="00716583">
      <w:pPr>
        <w:pStyle w:val="ConsPlusNormal"/>
        <w:jc w:val="both"/>
      </w:pPr>
    </w:p>
    <w:p w:rsidR="00716583" w:rsidRDefault="00716583">
      <w:pPr>
        <w:pStyle w:val="ConsPlusNormal"/>
        <w:ind w:firstLine="540"/>
        <w:jc w:val="both"/>
      </w:pPr>
      <w:r>
        <w:t xml:space="preserve">г) </w:t>
      </w:r>
      <w:hyperlink r:id="rId11">
        <w:r>
          <w:rPr>
            <w:color w:val="0000FF"/>
          </w:rPr>
          <w:t>позицию</w:t>
        </w:r>
      </w:hyperlink>
      <w:r>
        <w:t>, касающуюся B02BX, изложить в следующей редакции:</w:t>
      </w:r>
    </w:p>
    <w:p w:rsidR="00716583" w:rsidRDefault="00716583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2608"/>
        <w:gridCol w:w="1814"/>
        <w:gridCol w:w="3628"/>
      </w:tblGrid>
      <w:tr w:rsidR="00716583"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  <w:jc w:val="center"/>
            </w:pPr>
            <w:r>
              <w:t>"B02BX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другие системные гемостатики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ромиплостим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лиофилизат для приготовления раствора для подкожного введения;</w:t>
            </w:r>
          </w:p>
          <w:p w:rsidR="00716583" w:rsidRDefault="00716583">
            <w:pPr>
              <w:pStyle w:val="ConsPlusNormal"/>
            </w:pPr>
            <w:r>
              <w:t>порошок для приготовления раствора для подкожного введения</w:t>
            </w:r>
          </w:p>
        </w:tc>
      </w:tr>
      <w:tr w:rsidR="00716583"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элтромбопаг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16583"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эмицизумаб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716583"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этамзилат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716583" w:rsidRDefault="00716583">
            <w:pPr>
              <w:pStyle w:val="ConsPlusNormal"/>
            </w:pPr>
            <w:r>
              <w:t>раствор для инъекций;</w:t>
            </w:r>
          </w:p>
          <w:p w:rsidR="00716583" w:rsidRDefault="00716583">
            <w:pPr>
              <w:pStyle w:val="ConsPlusNormal"/>
            </w:pPr>
            <w:r>
              <w:t>раствор для инъекций и наружного применения;</w:t>
            </w:r>
          </w:p>
          <w:p w:rsidR="00716583" w:rsidRDefault="00716583">
            <w:pPr>
              <w:pStyle w:val="ConsPlusNormal"/>
            </w:pPr>
            <w:r>
              <w:t>таблетки";</w:t>
            </w:r>
          </w:p>
        </w:tc>
      </w:tr>
    </w:tbl>
    <w:p w:rsidR="00716583" w:rsidRDefault="00716583">
      <w:pPr>
        <w:pStyle w:val="ConsPlusNormal"/>
        <w:jc w:val="both"/>
      </w:pPr>
    </w:p>
    <w:p w:rsidR="00716583" w:rsidRDefault="00716583">
      <w:pPr>
        <w:pStyle w:val="ConsPlusNormal"/>
        <w:ind w:firstLine="540"/>
        <w:jc w:val="both"/>
      </w:pPr>
      <w:r>
        <w:t xml:space="preserve">д) </w:t>
      </w:r>
      <w:hyperlink r:id="rId12">
        <w:r>
          <w:rPr>
            <w:color w:val="0000FF"/>
          </w:rPr>
          <w:t>позицию</w:t>
        </w:r>
      </w:hyperlink>
      <w:r>
        <w:t>, касающуюся B03XA, изложить в следующей редакции:</w:t>
      </w:r>
    </w:p>
    <w:p w:rsidR="00716583" w:rsidRDefault="00716583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2608"/>
        <w:gridCol w:w="1814"/>
        <w:gridCol w:w="3628"/>
      </w:tblGrid>
      <w:tr w:rsidR="00716583"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  <w:jc w:val="center"/>
            </w:pPr>
            <w:r>
              <w:t>"B03XA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другие антианемические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дарбэпоэтин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раствор для инъекций</w:t>
            </w:r>
          </w:p>
        </w:tc>
      </w:tr>
      <w:tr w:rsidR="00716583"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метоксиполиэтиленгликоль-эпоэтин бета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раствор для внутривенного и подкожного введения</w:t>
            </w:r>
          </w:p>
        </w:tc>
      </w:tr>
      <w:tr w:rsidR="00716583"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роксадустат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16583"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эпоэтин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раствор для внутривенного и подкожного введения</w:t>
            </w:r>
          </w:p>
        </w:tc>
      </w:tr>
      <w:tr w:rsidR="00716583"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эпоэтин бета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лиофилизат для приготовления раствора для внутривенного и подкожного введения;</w:t>
            </w:r>
          </w:p>
          <w:p w:rsidR="00716583" w:rsidRDefault="00716583">
            <w:pPr>
              <w:pStyle w:val="ConsPlusNormal"/>
            </w:pPr>
            <w:r>
              <w:t>раствор для внутривенного и подкожного введения";</w:t>
            </w:r>
          </w:p>
        </w:tc>
      </w:tr>
    </w:tbl>
    <w:p w:rsidR="00716583" w:rsidRDefault="00716583">
      <w:pPr>
        <w:pStyle w:val="ConsPlusNormal"/>
        <w:jc w:val="both"/>
      </w:pPr>
    </w:p>
    <w:p w:rsidR="00716583" w:rsidRDefault="00716583">
      <w:pPr>
        <w:pStyle w:val="ConsPlusNormal"/>
        <w:ind w:firstLine="540"/>
        <w:jc w:val="both"/>
      </w:pPr>
      <w:r>
        <w:t xml:space="preserve">е) </w:t>
      </w:r>
      <w:hyperlink r:id="rId13">
        <w:r>
          <w:rPr>
            <w:color w:val="0000FF"/>
          </w:rPr>
          <w:t>позицию</w:t>
        </w:r>
      </w:hyperlink>
      <w:r>
        <w:t>, касающуюся C07AB, изложить в следующей редакции:</w:t>
      </w:r>
    </w:p>
    <w:p w:rsidR="00716583" w:rsidRDefault="00716583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2608"/>
        <w:gridCol w:w="1814"/>
        <w:gridCol w:w="3628"/>
      </w:tblGrid>
      <w:tr w:rsidR="00716583"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  <w:jc w:val="center"/>
            </w:pPr>
            <w:r>
              <w:t>"C07AB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селективные бета-адреноблокаторы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атенолол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таблетки;</w:t>
            </w:r>
          </w:p>
          <w:p w:rsidR="00716583" w:rsidRDefault="00716583">
            <w:pPr>
              <w:pStyle w:val="ConsPlusNormal"/>
            </w:pPr>
            <w:r>
              <w:t>таблетки, покрытые оболочкой;</w:t>
            </w:r>
          </w:p>
          <w:p w:rsidR="00716583" w:rsidRDefault="00716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16583"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бисопролол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таблетки;</w:t>
            </w:r>
          </w:p>
          <w:p w:rsidR="00716583" w:rsidRDefault="00716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16583"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метопролол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раствор для внутривенного введения;</w:t>
            </w:r>
          </w:p>
          <w:p w:rsidR="00716583" w:rsidRDefault="00716583">
            <w:pPr>
              <w:pStyle w:val="ConsPlusNormal"/>
            </w:pPr>
            <w:r>
              <w:t>таблетки;</w:t>
            </w:r>
          </w:p>
          <w:p w:rsidR="00716583" w:rsidRDefault="00716583">
            <w:pPr>
              <w:pStyle w:val="ConsPlusNormal"/>
            </w:pPr>
            <w:r>
              <w:t>таблетки пролонгированного действия, покрытые пленочной оболочкой;</w:t>
            </w:r>
          </w:p>
          <w:p w:rsidR="00716583" w:rsidRDefault="00716583">
            <w:pPr>
              <w:pStyle w:val="ConsPlusNormal"/>
            </w:pPr>
            <w:r>
              <w:t>таблетки с пролонгированным высвобождением, покрытые оболочкой;</w:t>
            </w:r>
          </w:p>
          <w:p w:rsidR="00716583" w:rsidRDefault="00716583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716583"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эсмолол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раствор для внутривенного введения";</w:t>
            </w:r>
          </w:p>
        </w:tc>
      </w:tr>
    </w:tbl>
    <w:p w:rsidR="00716583" w:rsidRDefault="00716583">
      <w:pPr>
        <w:pStyle w:val="ConsPlusNormal"/>
        <w:jc w:val="both"/>
      </w:pPr>
    </w:p>
    <w:p w:rsidR="00716583" w:rsidRDefault="00716583">
      <w:pPr>
        <w:pStyle w:val="ConsPlusNormal"/>
        <w:ind w:firstLine="540"/>
        <w:jc w:val="both"/>
      </w:pPr>
      <w:r>
        <w:t xml:space="preserve">ж) </w:t>
      </w:r>
      <w:hyperlink r:id="rId14">
        <w:r>
          <w:rPr>
            <w:color w:val="0000FF"/>
          </w:rPr>
          <w:t>позицию</w:t>
        </w:r>
      </w:hyperlink>
      <w:r>
        <w:t>, касающуюся C10AX, изложить в следующей редакции:</w:t>
      </w:r>
    </w:p>
    <w:p w:rsidR="00716583" w:rsidRDefault="00716583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2608"/>
        <w:gridCol w:w="1814"/>
        <w:gridCol w:w="3628"/>
      </w:tblGrid>
      <w:tr w:rsidR="00716583"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  <w:jc w:val="center"/>
            </w:pPr>
            <w:r>
              <w:t>"C10AX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другие гиполипидемические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алирокумаб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716583"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инклисиран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716583"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эволокумаб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раствор для подкожного введения";</w:t>
            </w:r>
          </w:p>
        </w:tc>
      </w:tr>
    </w:tbl>
    <w:p w:rsidR="00716583" w:rsidRDefault="00716583">
      <w:pPr>
        <w:pStyle w:val="ConsPlusNormal"/>
        <w:jc w:val="both"/>
      </w:pPr>
    </w:p>
    <w:p w:rsidR="00716583" w:rsidRDefault="00716583">
      <w:pPr>
        <w:pStyle w:val="ConsPlusNormal"/>
        <w:ind w:firstLine="540"/>
        <w:jc w:val="both"/>
      </w:pPr>
      <w:r>
        <w:t xml:space="preserve">з) </w:t>
      </w:r>
      <w:hyperlink r:id="rId15">
        <w:r>
          <w:rPr>
            <w:color w:val="0000FF"/>
          </w:rPr>
          <w:t>позицию</w:t>
        </w:r>
      </w:hyperlink>
      <w:r>
        <w:t>, касающуюся J01DH, изложить в следующей редакции:</w:t>
      </w:r>
    </w:p>
    <w:p w:rsidR="00716583" w:rsidRDefault="00716583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2608"/>
        <w:gridCol w:w="1814"/>
        <w:gridCol w:w="3628"/>
      </w:tblGrid>
      <w:tr w:rsidR="00716583"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  <w:jc w:val="center"/>
            </w:pPr>
            <w:r>
              <w:t>"J01DH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карбапенемы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биапенем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порошок для приготовления раствора для инфузий</w:t>
            </w:r>
          </w:p>
        </w:tc>
      </w:tr>
      <w:tr w:rsidR="00716583"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имипенем + циластатин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порошок для приготовления раствора для инфузий</w:t>
            </w:r>
          </w:p>
        </w:tc>
      </w:tr>
      <w:tr w:rsidR="00716583"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меропенем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 xml:space="preserve">порошок для приготовления </w:t>
            </w:r>
            <w:r>
              <w:lastRenderedPageBreak/>
              <w:t>раствора для внутривенного введения</w:t>
            </w:r>
          </w:p>
        </w:tc>
      </w:tr>
      <w:tr w:rsidR="00716583"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эртапенем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лиофилизат для приготовления раствора для инъекций;</w:t>
            </w:r>
          </w:p>
          <w:p w:rsidR="00716583" w:rsidRDefault="00716583">
            <w:pPr>
              <w:pStyle w:val="ConsPlusNormal"/>
            </w:pPr>
            <w:r>
              <w:t>лиофилизат для приготовления раствора для внутривенного и внутримышечного введения";</w:t>
            </w:r>
          </w:p>
        </w:tc>
      </w:tr>
    </w:tbl>
    <w:p w:rsidR="00716583" w:rsidRDefault="00716583">
      <w:pPr>
        <w:pStyle w:val="ConsPlusNormal"/>
        <w:jc w:val="both"/>
      </w:pPr>
    </w:p>
    <w:p w:rsidR="00716583" w:rsidRDefault="00716583">
      <w:pPr>
        <w:pStyle w:val="ConsPlusNormal"/>
        <w:ind w:firstLine="540"/>
        <w:jc w:val="both"/>
      </w:pPr>
      <w:r>
        <w:t xml:space="preserve">и) </w:t>
      </w:r>
      <w:hyperlink r:id="rId16">
        <w:r>
          <w:rPr>
            <w:color w:val="0000FF"/>
          </w:rPr>
          <w:t>позицию</w:t>
        </w:r>
      </w:hyperlink>
      <w:r>
        <w:t>, касающуюся J05AE, изложить в следующей редакции:</w:t>
      </w:r>
    </w:p>
    <w:p w:rsidR="00716583" w:rsidRDefault="00716583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2608"/>
        <w:gridCol w:w="1814"/>
        <w:gridCol w:w="3628"/>
      </w:tblGrid>
      <w:tr w:rsidR="00716583"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  <w:jc w:val="center"/>
            </w:pPr>
            <w:r>
              <w:t>"J05AE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ингибиторы протеаз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атазанавир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капсулы</w:t>
            </w:r>
          </w:p>
        </w:tc>
      </w:tr>
      <w:tr w:rsidR="00716583"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атазанавир + ритонавир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16583"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дарунавир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16583"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нарлапревир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16583"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нирматрелвир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16583"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нирматрелвир + ритонавир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таблетки, покрытые пленочной оболочкой;</w:t>
            </w:r>
          </w:p>
          <w:p w:rsidR="00716583" w:rsidRDefault="00716583">
            <w:pPr>
              <w:pStyle w:val="ConsPlusNormal"/>
            </w:pPr>
            <w:r>
              <w:t>набор таблеток, покрытых пленочной оболочкой</w:t>
            </w:r>
          </w:p>
        </w:tc>
      </w:tr>
      <w:tr w:rsidR="00716583"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ритонавир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капсулы;</w:t>
            </w:r>
          </w:p>
          <w:p w:rsidR="00716583" w:rsidRDefault="00716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16583"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саквинавир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16583"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фосампренавир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суспензия для приема внутрь;</w:t>
            </w:r>
          </w:p>
          <w:p w:rsidR="00716583" w:rsidRDefault="00716583">
            <w:pPr>
              <w:pStyle w:val="ConsPlusNormal"/>
            </w:pPr>
            <w:r>
              <w:t>таблетки, покрытые пленочной оболочкой";</w:t>
            </w:r>
          </w:p>
        </w:tc>
      </w:tr>
    </w:tbl>
    <w:p w:rsidR="00716583" w:rsidRDefault="00716583">
      <w:pPr>
        <w:pStyle w:val="ConsPlusNormal"/>
        <w:jc w:val="both"/>
      </w:pPr>
    </w:p>
    <w:p w:rsidR="00716583" w:rsidRDefault="00716583">
      <w:pPr>
        <w:pStyle w:val="ConsPlusNormal"/>
        <w:ind w:firstLine="540"/>
        <w:jc w:val="both"/>
      </w:pPr>
      <w:r>
        <w:t xml:space="preserve">к) </w:t>
      </w:r>
      <w:hyperlink r:id="rId17">
        <w:r>
          <w:rPr>
            <w:color w:val="0000FF"/>
          </w:rPr>
          <w:t>позицию</w:t>
        </w:r>
      </w:hyperlink>
      <w:r>
        <w:t>, касающуюся J05AR, изложить в следующей редакции:</w:t>
      </w:r>
    </w:p>
    <w:p w:rsidR="00716583" w:rsidRDefault="00716583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2608"/>
        <w:gridCol w:w="1814"/>
        <w:gridCol w:w="3628"/>
      </w:tblGrid>
      <w:tr w:rsidR="00716583"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  <w:jc w:val="center"/>
            </w:pPr>
            <w:r>
              <w:t>"J05AR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комбинированные противовирусные препараты для лечения ВИЧ-инфекции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абакавир + ламивудин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16583"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абакавир + зидовудин + ламивудин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16583"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биктегравир + тенофовира алафенамид + эмтрицитабин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16583"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доравирин + ламивудин + тенофовир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16583"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зидовудин + ламивудин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16583"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кобицистат + тенофовира алафенамид + элвитегравир + эмтрицитабин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16583"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ламивудин + фосфазид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16583"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лопинавир + ритонавир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раствор для приема внутрь;</w:t>
            </w:r>
          </w:p>
          <w:p w:rsidR="00716583" w:rsidRDefault="00716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16583"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рилпивирин + тенофовир + эмтрицитабин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16583"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тенофовир + элсульфавирин + эмтрицитабин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таблетки, покрытые пленочной оболочкой";</w:t>
            </w:r>
          </w:p>
        </w:tc>
      </w:tr>
    </w:tbl>
    <w:p w:rsidR="00716583" w:rsidRDefault="00716583">
      <w:pPr>
        <w:pStyle w:val="ConsPlusNormal"/>
        <w:jc w:val="both"/>
      </w:pPr>
    </w:p>
    <w:p w:rsidR="00716583" w:rsidRDefault="00716583">
      <w:pPr>
        <w:pStyle w:val="ConsPlusNormal"/>
        <w:ind w:firstLine="540"/>
        <w:jc w:val="both"/>
      </w:pPr>
      <w:r>
        <w:t xml:space="preserve">л) </w:t>
      </w:r>
      <w:hyperlink r:id="rId18">
        <w:r>
          <w:rPr>
            <w:color w:val="0000FF"/>
          </w:rPr>
          <w:t>позицию</w:t>
        </w:r>
      </w:hyperlink>
      <w:r>
        <w:t>, касающуюся J06AA, изложить в следующей редакции:</w:t>
      </w:r>
    </w:p>
    <w:p w:rsidR="00716583" w:rsidRDefault="00716583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2608"/>
        <w:gridCol w:w="1814"/>
        <w:gridCol w:w="3628"/>
      </w:tblGrid>
      <w:tr w:rsidR="00716583"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  <w:jc w:val="center"/>
            </w:pPr>
            <w:r>
              <w:t>"J06AA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иммунные сыворотки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антитоксин яда гадюки обыкновенной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</w:tr>
      <w:tr w:rsidR="00716583"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антитоксин ботулинический типа A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</w:tr>
      <w:tr w:rsidR="00716583"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антитоксин ботулинический типа B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</w:tr>
      <w:tr w:rsidR="00716583"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антитоксин ботулинический типа E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</w:tr>
      <w:tr w:rsidR="00716583"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антитоксин гангренозный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</w:tr>
      <w:tr w:rsidR="00716583"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антитоксин дифтерийный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</w:tr>
      <w:tr w:rsidR="00716583"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антитоксин столбнячный";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</w:tr>
    </w:tbl>
    <w:p w:rsidR="00716583" w:rsidRDefault="00716583">
      <w:pPr>
        <w:pStyle w:val="ConsPlusNormal"/>
        <w:jc w:val="both"/>
      </w:pPr>
    </w:p>
    <w:p w:rsidR="00716583" w:rsidRDefault="00716583">
      <w:pPr>
        <w:pStyle w:val="ConsPlusNormal"/>
        <w:ind w:firstLine="540"/>
        <w:jc w:val="both"/>
      </w:pPr>
      <w:r>
        <w:lastRenderedPageBreak/>
        <w:t xml:space="preserve">м) после </w:t>
      </w:r>
      <w:hyperlink r:id="rId19">
        <w:r>
          <w:rPr>
            <w:color w:val="0000FF"/>
          </w:rPr>
          <w:t>позиции</w:t>
        </w:r>
      </w:hyperlink>
      <w:r>
        <w:t>, касающейся L01DC, дополнить позициями следующего содержания:</w:t>
      </w:r>
    </w:p>
    <w:p w:rsidR="00716583" w:rsidRDefault="00716583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2608"/>
        <w:gridCol w:w="1814"/>
        <w:gridCol w:w="3628"/>
      </w:tblGrid>
      <w:tr w:rsidR="00716583"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  <w:jc w:val="center"/>
            </w:pPr>
            <w:r>
              <w:t>"L01E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ингибиторы протеинкиназы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</w:tr>
      <w:tr w:rsidR="00716583"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  <w:jc w:val="center"/>
            </w:pPr>
            <w:r>
              <w:t>L01EL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ингибиторы тирозинкиназы Брутона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занубрутиниб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капсулы</w:t>
            </w:r>
          </w:p>
        </w:tc>
      </w:tr>
      <w:tr w:rsidR="00716583"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  <w:jc w:val="center"/>
            </w:pPr>
            <w:r>
              <w:t>L01F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моноклональные антитела и конъюгаты антител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</w:tr>
      <w:tr w:rsidR="00716583"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  <w:jc w:val="center"/>
            </w:pPr>
            <w:r>
              <w:t>L01FC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ингибиторы CD38 (кластеры дифференцировки 38)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даратумумаб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716583" w:rsidRDefault="00716583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716583"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изатуксимаб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концентрат для приготовления раствора для инфузий";</w:t>
            </w:r>
          </w:p>
        </w:tc>
      </w:tr>
    </w:tbl>
    <w:p w:rsidR="00716583" w:rsidRDefault="00716583">
      <w:pPr>
        <w:pStyle w:val="ConsPlusNormal"/>
        <w:jc w:val="both"/>
      </w:pPr>
    </w:p>
    <w:p w:rsidR="00716583" w:rsidRDefault="00716583">
      <w:pPr>
        <w:pStyle w:val="ConsPlusNormal"/>
        <w:ind w:firstLine="540"/>
        <w:jc w:val="both"/>
      </w:pPr>
      <w:r>
        <w:t xml:space="preserve">н) </w:t>
      </w:r>
      <w:hyperlink r:id="rId20">
        <w:r>
          <w:rPr>
            <w:color w:val="0000FF"/>
          </w:rPr>
          <w:t>позицию</w:t>
        </w:r>
      </w:hyperlink>
      <w:r>
        <w:t>, касающуюся L01XC, изложить в следующей редакции:</w:t>
      </w:r>
    </w:p>
    <w:p w:rsidR="00716583" w:rsidRDefault="00716583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2608"/>
        <w:gridCol w:w="1814"/>
        <w:gridCol w:w="3628"/>
      </w:tblGrid>
      <w:tr w:rsidR="00716583"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  <w:jc w:val="center"/>
            </w:pPr>
            <w:r>
              <w:t>"L01XC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моноклональные антитела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авелумаб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716583"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атезолизумаб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716583"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бевацизумаб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716583"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блинатумомаб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инфузий;</w:t>
            </w:r>
          </w:p>
          <w:p w:rsidR="00716583" w:rsidRDefault="00716583">
            <w:pPr>
              <w:pStyle w:val="ConsPlusNormal"/>
            </w:pPr>
            <w:r>
              <w:t>порошок для приготовления концентрата для приготовления раствора для инфузий</w:t>
            </w:r>
          </w:p>
        </w:tc>
      </w:tr>
      <w:tr w:rsidR="00716583"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брентуксимаб ведотин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716583"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дурвалумаб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716583"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инотузумаб озогамицин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716583"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ипилимумаб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716583"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ниволумаб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716583"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обинутузумаб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 xml:space="preserve">концентрат для приготовления </w:t>
            </w:r>
            <w:r>
              <w:lastRenderedPageBreak/>
              <w:t>раствора для инфузий</w:t>
            </w:r>
          </w:p>
        </w:tc>
      </w:tr>
      <w:tr w:rsidR="00716583"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панитумумаб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716583"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пембролизумаб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716583"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пертузумаб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716583"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полатузумаб ведотин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716583"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пролголимаб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716583"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рамуцирумаб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716583"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ритуксимаб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716583" w:rsidRDefault="00716583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716583"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трастузумаб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инфузий;</w:t>
            </w:r>
          </w:p>
          <w:p w:rsidR="00716583" w:rsidRDefault="00716583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716583"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трастузумаб эмтанзин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716583"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цетуксимаб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раствор для инфузий</w:t>
            </w:r>
          </w:p>
        </w:tc>
      </w:tr>
      <w:tr w:rsidR="00716583"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элотузумаб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инфузий";</w:t>
            </w:r>
          </w:p>
        </w:tc>
      </w:tr>
    </w:tbl>
    <w:p w:rsidR="00716583" w:rsidRDefault="00716583">
      <w:pPr>
        <w:pStyle w:val="ConsPlusNormal"/>
        <w:jc w:val="both"/>
      </w:pPr>
    </w:p>
    <w:p w:rsidR="00716583" w:rsidRDefault="00716583">
      <w:pPr>
        <w:pStyle w:val="ConsPlusNormal"/>
        <w:ind w:firstLine="540"/>
        <w:jc w:val="both"/>
      </w:pPr>
      <w:r>
        <w:t xml:space="preserve">о) </w:t>
      </w:r>
      <w:hyperlink r:id="rId21">
        <w:r>
          <w:rPr>
            <w:color w:val="0000FF"/>
          </w:rPr>
          <w:t>позицию</w:t>
        </w:r>
      </w:hyperlink>
      <w:r>
        <w:t>, касающуюся L01XX, изложить в следующей редакции:</w:t>
      </w:r>
    </w:p>
    <w:p w:rsidR="00716583" w:rsidRDefault="00716583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2608"/>
        <w:gridCol w:w="1814"/>
        <w:gridCol w:w="3628"/>
      </w:tblGrid>
      <w:tr w:rsidR="00716583"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  <w:jc w:val="center"/>
            </w:pPr>
            <w:r>
              <w:t>"L01XX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прочие противоопухолевые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алпелисиб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16583"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аспарагиназа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лиофилизат для приготовления раствора для внутривенного и внутримышечного введения</w:t>
            </w:r>
          </w:p>
        </w:tc>
      </w:tr>
      <w:tr w:rsidR="00716583"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афлиберцепт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716583" w:rsidRDefault="00716583">
            <w:pPr>
              <w:pStyle w:val="ConsPlusNormal"/>
            </w:pPr>
            <w:r>
              <w:t>раствор для внутриглазного введения</w:t>
            </w:r>
          </w:p>
        </w:tc>
      </w:tr>
      <w:tr w:rsidR="00716583"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бортезомиб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 xml:space="preserve">лиофилизат для приготовления раствора для внутривенного </w:t>
            </w:r>
            <w:r>
              <w:lastRenderedPageBreak/>
              <w:t>введения;</w:t>
            </w:r>
          </w:p>
          <w:p w:rsidR="00716583" w:rsidRDefault="00716583">
            <w:pPr>
              <w:pStyle w:val="ConsPlusNormal"/>
            </w:pPr>
            <w:r>
              <w:t>лиофилизат для приготовления раствора для внутривенного и подкожного введения;</w:t>
            </w:r>
          </w:p>
          <w:p w:rsidR="00716583" w:rsidRDefault="00716583">
            <w:pPr>
              <w:pStyle w:val="ConsPlusNormal"/>
            </w:pPr>
            <w:r>
              <w:t>лиофилизат для приготовления раствора для подкожного введения</w:t>
            </w:r>
          </w:p>
        </w:tc>
      </w:tr>
      <w:tr w:rsidR="00716583"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венетоклакс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16583"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висмодегиб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капсулы</w:t>
            </w:r>
          </w:p>
        </w:tc>
      </w:tr>
      <w:tr w:rsidR="00716583"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гидроксикарбамид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капсулы</w:t>
            </w:r>
          </w:p>
        </w:tc>
      </w:tr>
      <w:tr w:rsidR="00716583"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иксазомиб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капсулы</w:t>
            </w:r>
          </w:p>
        </w:tc>
      </w:tr>
      <w:tr w:rsidR="00716583"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иринотекан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716583"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карфилзомиб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716583"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митотан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таблетки</w:t>
            </w:r>
          </w:p>
        </w:tc>
      </w:tr>
      <w:tr w:rsidR="00716583"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олапариб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16583"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пэгаспаргаза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лиофилизат для приготовления раствора для внутримышечного введения и инфузий</w:t>
            </w:r>
          </w:p>
        </w:tc>
      </w:tr>
      <w:tr w:rsidR="00716583"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талазопариб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капсулы</w:t>
            </w:r>
          </w:p>
        </w:tc>
      </w:tr>
      <w:tr w:rsidR="00716583"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третиноин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капсулы</w:t>
            </w:r>
          </w:p>
        </w:tc>
      </w:tr>
      <w:tr w:rsidR="00716583"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фактор некроза опухоли альфа-1 (тимозин рекомбинантный)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лиофилизат для приготовления раствора для подкожного введения</w:t>
            </w:r>
          </w:p>
        </w:tc>
      </w:tr>
      <w:tr w:rsidR="00716583"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эрибулин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раствор для внутривенного введения";</w:t>
            </w:r>
          </w:p>
        </w:tc>
      </w:tr>
    </w:tbl>
    <w:p w:rsidR="00716583" w:rsidRDefault="00716583">
      <w:pPr>
        <w:pStyle w:val="ConsPlusNormal"/>
        <w:jc w:val="both"/>
      </w:pPr>
    </w:p>
    <w:p w:rsidR="00716583" w:rsidRDefault="00716583">
      <w:pPr>
        <w:pStyle w:val="ConsPlusNormal"/>
        <w:ind w:firstLine="540"/>
        <w:jc w:val="both"/>
      </w:pPr>
      <w:r>
        <w:t xml:space="preserve">п) после </w:t>
      </w:r>
      <w:hyperlink r:id="rId22">
        <w:r>
          <w:rPr>
            <w:color w:val="0000FF"/>
          </w:rPr>
          <w:t>позиции</w:t>
        </w:r>
      </w:hyperlink>
      <w:r>
        <w:t>, касающейся L01XX, дополнить позицией следующего содержания:</w:t>
      </w:r>
    </w:p>
    <w:p w:rsidR="00716583" w:rsidRDefault="00716583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2608"/>
        <w:gridCol w:w="1814"/>
        <w:gridCol w:w="3628"/>
      </w:tblGrid>
      <w:tr w:rsidR="00716583"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  <w:jc w:val="center"/>
            </w:pPr>
            <w:r>
              <w:t>"L01XY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комбинации противоопухолевых препаратов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нурулимаб + пролголимаб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концентрат для приготовления раствора для инфузий";</w:t>
            </w:r>
          </w:p>
        </w:tc>
      </w:tr>
    </w:tbl>
    <w:p w:rsidR="00716583" w:rsidRDefault="00716583">
      <w:pPr>
        <w:pStyle w:val="ConsPlusNormal"/>
        <w:jc w:val="both"/>
      </w:pPr>
    </w:p>
    <w:p w:rsidR="00716583" w:rsidRDefault="00716583">
      <w:pPr>
        <w:pStyle w:val="ConsPlusNormal"/>
        <w:ind w:firstLine="540"/>
        <w:jc w:val="both"/>
      </w:pPr>
      <w:r>
        <w:t xml:space="preserve">р) </w:t>
      </w:r>
      <w:hyperlink r:id="rId23">
        <w:r>
          <w:rPr>
            <w:color w:val="0000FF"/>
          </w:rPr>
          <w:t>позицию</w:t>
        </w:r>
      </w:hyperlink>
      <w:r>
        <w:t>, касающуюся L04AA, изложить в следующей редакции:</w:t>
      </w:r>
    </w:p>
    <w:p w:rsidR="00716583" w:rsidRDefault="00716583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2608"/>
        <w:gridCol w:w="1814"/>
        <w:gridCol w:w="3628"/>
      </w:tblGrid>
      <w:tr w:rsidR="00716583"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  <w:jc w:val="center"/>
            </w:pPr>
            <w:r>
              <w:t>"L04AA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селективные иммунодепрессанты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абатацепт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 xml:space="preserve">лиофилизат для приготовления концентрата для приготовления </w:t>
            </w:r>
            <w:r>
              <w:lastRenderedPageBreak/>
              <w:t>раствора для инфузий;</w:t>
            </w:r>
          </w:p>
          <w:p w:rsidR="00716583" w:rsidRDefault="00716583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716583"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алемтузумаб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716583"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анифролумаб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716583"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апремиласт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16583"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барицитиниб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16583"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белимумаб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716583"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ведолизумаб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716583"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дивозилимаб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716583"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иммуноглобулин антитимоцитарный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716583" w:rsidRDefault="00716583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716583"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иммуноглобулин антитимоцитарный лошадиный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716583"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кладрибин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таблетки</w:t>
            </w:r>
          </w:p>
        </w:tc>
      </w:tr>
      <w:tr w:rsidR="00716583"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лефлуномид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16583"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микофенолата мофетил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капсулы;</w:t>
            </w:r>
          </w:p>
          <w:p w:rsidR="00716583" w:rsidRDefault="00716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16583"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микофеноловая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таблетки кишечнорастворимые, покрытые оболочкой;</w:t>
            </w:r>
          </w:p>
          <w:p w:rsidR="00716583" w:rsidRDefault="00716583">
            <w:pPr>
              <w:pStyle w:val="ConsPlusNormal"/>
            </w:pPr>
            <w:r>
              <w:t>таблетки, покрытые кишечнорастворимой оболочкой</w:t>
            </w:r>
          </w:p>
        </w:tc>
      </w:tr>
      <w:tr w:rsidR="00716583"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натализумаб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716583"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окрелизумаб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716583"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сипонимод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16583"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терифлуномид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16583"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тофацитиниб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16583"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упадацитиниб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716583"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финголимод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капсулы</w:t>
            </w:r>
          </w:p>
        </w:tc>
      </w:tr>
      <w:tr w:rsidR="00716583"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эверолимус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таблетки;</w:t>
            </w:r>
          </w:p>
          <w:p w:rsidR="00716583" w:rsidRDefault="00716583">
            <w:pPr>
              <w:pStyle w:val="ConsPlusNormal"/>
            </w:pPr>
            <w:r>
              <w:t>таблетки диспергируемые</w:t>
            </w:r>
          </w:p>
        </w:tc>
      </w:tr>
      <w:tr w:rsidR="00716583"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экулизумаб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концентрат для приготовления раствора для инфузий";</w:t>
            </w:r>
          </w:p>
        </w:tc>
      </w:tr>
    </w:tbl>
    <w:p w:rsidR="00716583" w:rsidRDefault="00716583">
      <w:pPr>
        <w:pStyle w:val="ConsPlusNormal"/>
        <w:jc w:val="both"/>
      </w:pPr>
    </w:p>
    <w:p w:rsidR="00716583" w:rsidRDefault="00716583">
      <w:pPr>
        <w:pStyle w:val="ConsPlusNormal"/>
        <w:ind w:firstLine="540"/>
        <w:jc w:val="both"/>
      </w:pPr>
      <w:r>
        <w:t xml:space="preserve">с) </w:t>
      </w:r>
      <w:hyperlink r:id="rId24">
        <w:r>
          <w:rPr>
            <w:color w:val="0000FF"/>
          </w:rPr>
          <w:t>позицию</w:t>
        </w:r>
      </w:hyperlink>
      <w:r>
        <w:t>, касающуюся M01AB, изложить в следующей редакции:</w:t>
      </w:r>
    </w:p>
    <w:p w:rsidR="00716583" w:rsidRDefault="00716583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2608"/>
        <w:gridCol w:w="1814"/>
        <w:gridCol w:w="3628"/>
      </w:tblGrid>
      <w:tr w:rsidR="00716583"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  <w:jc w:val="center"/>
            </w:pPr>
            <w:r>
              <w:t>"M01AB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производные уксусной кислоты и родственные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диклофенак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капли глазные;</w:t>
            </w:r>
          </w:p>
          <w:p w:rsidR="00716583" w:rsidRDefault="00716583">
            <w:pPr>
              <w:pStyle w:val="ConsPlusNormal"/>
            </w:pPr>
            <w:r>
              <w:t>капсулы кишечнорастворимые;</w:t>
            </w:r>
          </w:p>
          <w:p w:rsidR="00716583" w:rsidRDefault="00716583">
            <w:pPr>
              <w:pStyle w:val="ConsPlusNormal"/>
            </w:pPr>
            <w:r>
              <w:t>капсулы с модифицированным высвобождением;</w:t>
            </w:r>
          </w:p>
          <w:p w:rsidR="00716583" w:rsidRDefault="00716583">
            <w:pPr>
              <w:pStyle w:val="ConsPlusNormal"/>
            </w:pPr>
            <w:r>
              <w:t>раствор для внутримышечного введения;</w:t>
            </w:r>
          </w:p>
          <w:p w:rsidR="00716583" w:rsidRDefault="00716583">
            <w:pPr>
              <w:pStyle w:val="ConsPlusNormal"/>
            </w:pPr>
            <w:r>
              <w:t>таблетки, покрытые кишечнорастворимой оболочкой;</w:t>
            </w:r>
          </w:p>
          <w:p w:rsidR="00716583" w:rsidRDefault="00716583">
            <w:pPr>
              <w:pStyle w:val="ConsPlusNormal"/>
            </w:pPr>
            <w:r>
              <w:t>таблетки, покрытые кишечнорастворимой пленочной оболочкой;</w:t>
            </w:r>
          </w:p>
          <w:p w:rsidR="00716583" w:rsidRDefault="00716583">
            <w:pPr>
              <w:pStyle w:val="ConsPlusNormal"/>
            </w:pPr>
            <w:r>
              <w:t>таблетки, покрытые пленочной оболочкой;</w:t>
            </w:r>
          </w:p>
          <w:p w:rsidR="00716583" w:rsidRDefault="00716583">
            <w:pPr>
              <w:pStyle w:val="ConsPlusNormal"/>
            </w:pPr>
            <w:r>
              <w:t>таблетки пролонгированного действия, покрытые кишечнорастворимой оболочкой;</w:t>
            </w:r>
          </w:p>
          <w:p w:rsidR="00716583" w:rsidRDefault="00716583">
            <w:pPr>
              <w:pStyle w:val="ConsPlusNormal"/>
            </w:pPr>
            <w:r>
              <w:t>таблетки пролонгированного действия, покрытые оболочкой;</w:t>
            </w:r>
          </w:p>
          <w:p w:rsidR="00716583" w:rsidRDefault="00716583">
            <w:pPr>
              <w:pStyle w:val="ConsPlusNormal"/>
            </w:pPr>
            <w:r>
              <w:t>таблетки пролонгированного действия, покрытые пленочной оболочкой;</w:t>
            </w:r>
          </w:p>
          <w:p w:rsidR="00716583" w:rsidRDefault="00716583">
            <w:pPr>
              <w:pStyle w:val="ConsPlusNormal"/>
            </w:pPr>
            <w:r>
              <w:t>таблетки кишечнорастворимые, покрытые пленочной оболочкой;</w:t>
            </w:r>
          </w:p>
          <w:p w:rsidR="00716583" w:rsidRDefault="00716583">
            <w:pPr>
              <w:pStyle w:val="ConsPlusNormal"/>
            </w:pPr>
            <w:r>
              <w:t>таблетки с пролонгированным высвобождением, покрытые пленочной оболочкой;</w:t>
            </w:r>
          </w:p>
          <w:p w:rsidR="00716583" w:rsidRDefault="00716583">
            <w:pPr>
              <w:pStyle w:val="ConsPlusNormal"/>
            </w:pPr>
            <w:r>
              <w:t>таблетки кишечнорастворимые с пролонгированным высвобождением;</w:t>
            </w:r>
          </w:p>
          <w:p w:rsidR="00716583" w:rsidRDefault="00716583">
            <w:pPr>
              <w:pStyle w:val="ConsPlusNormal"/>
            </w:pPr>
            <w:r>
              <w:t>таблетки кишечнорастворимые с пролонгированным высвобождением, покрытые пленочной оболочкой</w:t>
            </w:r>
          </w:p>
        </w:tc>
      </w:tr>
      <w:tr w:rsidR="00716583"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кеторолак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716583" w:rsidRDefault="00716583">
            <w:pPr>
              <w:pStyle w:val="ConsPlusNormal"/>
            </w:pPr>
            <w:r>
              <w:t>раствор для внутримышечного введения;</w:t>
            </w:r>
          </w:p>
          <w:p w:rsidR="00716583" w:rsidRDefault="00716583">
            <w:pPr>
              <w:pStyle w:val="ConsPlusNormal"/>
            </w:pPr>
            <w:r>
              <w:t>таблетки;</w:t>
            </w:r>
          </w:p>
          <w:p w:rsidR="00716583" w:rsidRDefault="00716583">
            <w:pPr>
              <w:pStyle w:val="ConsPlusNormal"/>
            </w:pPr>
            <w:r>
              <w:t>таблетки, покрытые оболочкой;</w:t>
            </w:r>
          </w:p>
          <w:p w:rsidR="00716583" w:rsidRDefault="00716583">
            <w:pPr>
              <w:pStyle w:val="ConsPlusNormal"/>
            </w:pPr>
            <w:r>
              <w:t>таблетки, покрытые пленочной оболочкой";</w:t>
            </w:r>
          </w:p>
        </w:tc>
      </w:tr>
    </w:tbl>
    <w:p w:rsidR="00716583" w:rsidRDefault="00716583">
      <w:pPr>
        <w:pStyle w:val="ConsPlusNormal"/>
        <w:jc w:val="both"/>
      </w:pPr>
    </w:p>
    <w:p w:rsidR="00716583" w:rsidRDefault="00716583">
      <w:pPr>
        <w:pStyle w:val="ConsPlusNormal"/>
        <w:ind w:firstLine="540"/>
        <w:jc w:val="both"/>
      </w:pPr>
      <w:r>
        <w:t xml:space="preserve">т) </w:t>
      </w:r>
      <w:hyperlink r:id="rId25">
        <w:r>
          <w:rPr>
            <w:color w:val="0000FF"/>
          </w:rPr>
          <w:t>позицию</w:t>
        </w:r>
      </w:hyperlink>
      <w:r>
        <w:t>, касающуюся N04BC, изложить в следующей редакции:</w:t>
      </w:r>
    </w:p>
    <w:p w:rsidR="00716583" w:rsidRDefault="00716583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2608"/>
        <w:gridCol w:w="1814"/>
        <w:gridCol w:w="3628"/>
      </w:tblGrid>
      <w:tr w:rsidR="00716583"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  <w:jc w:val="center"/>
            </w:pPr>
            <w:r>
              <w:t>"N04BC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агонисты дофаминовых рецепторов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пирибедил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таблетки с контролируемым высвобождением, покрытые оболочкой;</w:t>
            </w:r>
          </w:p>
          <w:p w:rsidR="00716583" w:rsidRDefault="00716583">
            <w:pPr>
              <w:pStyle w:val="ConsPlusNormal"/>
            </w:pPr>
            <w:r>
              <w:t>таблетки с контролируемым высвобождением, покрытые пленочной оболочкой;</w:t>
            </w:r>
          </w:p>
          <w:p w:rsidR="00716583" w:rsidRDefault="00716583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716583"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прамипексол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таблетки;</w:t>
            </w:r>
          </w:p>
          <w:p w:rsidR="00716583" w:rsidRDefault="00716583">
            <w:pPr>
              <w:pStyle w:val="ConsPlusNormal"/>
            </w:pPr>
            <w:r>
              <w:t>таблетки пролонгированного действия";</w:t>
            </w:r>
          </w:p>
        </w:tc>
      </w:tr>
    </w:tbl>
    <w:p w:rsidR="00716583" w:rsidRDefault="00716583">
      <w:pPr>
        <w:pStyle w:val="ConsPlusNormal"/>
        <w:jc w:val="both"/>
      </w:pPr>
    </w:p>
    <w:p w:rsidR="00716583" w:rsidRDefault="00716583">
      <w:pPr>
        <w:pStyle w:val="ConsPlusNormal"/>
        <w:ind w:firstLine="540"/>
        <w:jc w:val="both"/>
      </w:pPr>
      <w:r>
        <w:t xml:space="preserve">у) </w:t>
      </w:r>
      <w:hyperlink r:id="rId26">
        <w:r>
          <w:rPr>
            <w:color w:val="0000FF"/>
          </w:rPr>
          <w:t>позицию</w:t>
        </w:r>
      </w:hyperlink>
      <w:r>
        <w:t>, касающуюся N06BX, изложить в следующей редакции:</w:t>
      </w:r>
    </w:p>
    <w:p w:rsidR="00716583" w:rsidRDefault="00716583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2608"/>
        <w:gridCol w:w="1814"/>
        <w:gridCol w:w="3628"/>
      </w:tblGrid>
      <w:tr w:rsidR="00716583"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  <w:jc w:val="center"/>
            </w:pPr>
            <w:r>
              <w:t>"N06BX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другие психостимуляторы и ноотропные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винпоцетин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716583" w:rsidRDefault="00716583">
            <w:pPr>
              <w:pStyle w:val="ConsPlusNormal"/>
            </w:pPr>
            <w:r>
              <w:t>раствор для внутривенного введения;</w:t>
            </w:r>
          </w:p>
          <w:p w:rsidR="00716583" w:rsidRDefault="00716583">
            <w:pPr>
              <w:pStyle w:val="ConsPlusNormal"/>
            </w:pPr>
            <w:r>
              <w:t>раствор для инъекций;</w:t>
            </w:r>
          </w:p>
          <w:p w:rsidR="00716583" w:rsidRDefault="00716583">
            <w:pPr>
              <w:pStyle w:val="ConsPlusNormal"/>
            </w:pPr>
            <w:r>
              <w:t>таблетки;</w:t>
            </w:r>
          </w:p>
          <w:p w:rsidR="00716583" w:rsidRDefault="00716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16583"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глицин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таблетки защечные;</w:t>
            </w:r>
          </w:p>
          <w:p w:rsidR="00716583" w:rsidRDefault="00716583">
            <w:pPr>
              <w:pStyle w:val="ConsPlusNormal"/>
            </w:pPr>
            <w:r>
              <w:t>таблетки подъязычные;</w:t>
            </w:r>
          </w:p>
          <w:p w:rsidR="00716583" w:rsidRDefault="00716583">
            <w:pPr>
              <w:pStyle w:val="ConsPlusNormal"/>
            </w:pPr>
            <w:r>
              <w:t>таблетки защечные и подъязычные</w:t>
            </w:r>
          </w:p>
        </w:tc>
      </w:tr>
      <w:tr w:rsidR="00716583"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метионил-глутамил-гистидил-фенилаланил-пролил-глицил-пролин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капли назальные</w:t>
            </w:r>
          </w:p>
        </w:tc>
      </w:tr>
      <w:tr w:rsidR="00716583"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пирацетам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капсулы;</w:t>
            </w:r>
          </w:p>
          <w:p w:rsidR="00716583" w:rsidRDefault="00716583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716583" w:rsidRDefault="00716583">
            <w:pPr>
              <w:pStyle w:val="ConsPlusNormal"/>
            </w:pPr>
            <w:r>
              <w:t>раствор для инфузий;</w:t>
            </w:r>
          </w:p>
          <w:p w:rsidR="00716583" w:rsidRDefault="00716583">
            <w:pPr>
              <w:pStyle w:val="ConsPlusNormal"/>
            </w:pPr>
            <w:r>
              <w:t xml:space="preserve">раствор для внутривенного </w:t>
            </w:r>
            <w:r>
              <w:lastRenderedPageBreak/>
              <w:t>введения;</w:t>
            </w:r>
          </w:p>
          <w:p w:rsidR="00716583" w:rsidRDefault="00716583">
            <w:pPr>
              <w:pStyle w:val="ConsPlusNormal"/>
            </w:pPr>
            <w:r>
              <w:t>раствор для приема внутрь;</w:t>
            </w:r>
          </w:p>
          <w:p w:rsidR="00716583" w:rsidRDefault="00716583">
            <w:pPr>
              <w:pStyle w:val="ConsPlusNormal"/>
            </w:pPr>
            <w:r>
              <w:t>таблетки, покрытые оболочкой;</w:t>
            </w:r>
          </w:p>
          <w:p w:rsidR="00716583" w:rsidRDefault="00716583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716583"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полипептиды коры головного мозга скота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лиофилизат для приготовления раствора для внутримышечного введения</w:t>
            </w:r>
          </w:p>
        </w:tc>
      </w:tr>
      <w:tr w:rsidR="00716583"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фонтурацетам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таблетки</w:t>
            </w:r>
          </w:p>
        </w:tc>
      </w:tr>
      <w:tr w:rsidR="00716583"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пептиды головного мозга свиньи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раствор для инъекций</w:t>
            </w:r>
          </w:p>
        </w:tc>
      </w:tr>
      <w:tr w:rsidR="00716583"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цитиколин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раствор для внутривенного и внутримышечного введения";</w:t>
            </w:r>
          </w:p>
        </w:tc>
      </w:tr>
    </w:tbl>
    <w:p w:rsidR="00716583" w:rsidRDefault="00716583">
      <w:pPr>
        <w:pStyle w:val="ConsPlusNormal"/>
        <w:jc w:val="both"/>
      </w:pPr>
    </w:p>
    <w:p w:rsidR="00716583" w:rsidRDefault="00716583">
      <w:pPr>
        <w:pStyle w:val="ConsPlusNormal"/>
        <w:ind w:firstLine="540"/>
        <w:jc w:val="both"/>
      </w:pPr>
      <w:r>
        <w:t xml:space="preserve">ф) </w:t>
      </w:r>
      <w:hyperlink r:id="rId27">
        <w:r>
          <w:rPr>
            <w:color w:val="0000FF"/>
          </w:rPr>
          <w:t>позицию</w:t>
        </w:r>
      </w:hyperlink>
      <w:r>
        <w:t>, касающуюся N07XX, изложить в следующей редакции:</w:t>
      </w:r>
    </w:p>
    <w:p w:rsidR="00716583" w:rsidRDefault="00716583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2608"/>
        <w:gridCol w:w="1814"/>
        <w:gridCol w:w="3628"/>
      </w:tblGrid>
      <w:tr w:rsidR="00716583"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  <w:jc w:val="center"/>
            </w:pPr>
            <w:r>
              <w:t>"N07XX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прочие препараты для лечения заболеваний нервной системы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инозин + никотинамид + рибофлавин + янтарная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раствор для внутривенного введения;</w:t>
            </w:r>
          </w:p>
          <w:p w:rsidR="00716583" w:rsidRDefault="00716583">
            <w:pPr>
              <w:pStyle w:val="ConsPlusNormal"/>
            </w:pPr>
            <w:r>
              <w:t>таблетки, покрытые кишечнорастворимой оболочкой</w:t>
            </w:r>
          </w:p>
        </w:tc>
      </w:tr>
      <w:tr w:rsidR="00716583"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тетрабеназин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таблетки</w:t>
            </w:r>
          </w:p>
        </w:tc>
      </w:tr>
      <w:tr w:rsidR="00716583"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фампридин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716583"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этилметилгидроксипиридина сукцинат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капсулы;</w:t>
            </w:r>
          </w:p>
          <w:p w:rsidR="00716583" w:rsidRDefault="00716583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716583" w:rsidRDefault="00716583">
            <w:pPr>
              <w:pStyle w:val="ConsPlusNormal"/>
            </w:pPr>
            <w:r>
              <w:t>таблетки, покрытые пленочной оболочкой";</w:t>
            </w:r>
          </w:p>
        </w:tc>
      </w:tr>
    </w:tbl>
    <w:p w:rsidR="00716583" w:rsidRDefault="00716583">
      <w:pPr>
        <w:pStyle w:val="ConsPlusNormal"/>
        <w:jc w:val="both"/>
      </w:pPr>
    </w:p>
    <w:p w:rsidR="00716583" w:rsidRDefault="00716583">
      <w:pPr>
        <w:pStyle w:val="ConsPlusNormal"/>
        <w:ind w:firstLine="540"/>
        <w:jc w:val="both"/>
      </w:pPr>
      <w:r>
        <w:t xml:space="preserve">х) </w:t>
      </w:r>
      <w:hyperlink r:id="rId28">
        <w:r>
          <w:rPr>
            <w:color w:val="0000FF"/>
          </w:rPr>
          <w:t>позицию</w:t>
        </w:r>
      </w:hyperlink>
      <w:r>
        <w:t>, касающуюся R03AL, изложить в следующей редакции:</w:t>
      </w:r>
    </w:p>
    <w:p w:rsidR="00716583" w:rsidRDefault="00716583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2608"/>
        <w:gridCol w:w="1814"/>
        <w:gridCol w:w="3628"/>
      </w:tblGrid>
      <w:tr w:rsidR="00716583"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  <w:jc w:val="center"/>
            </w:pPr>
            <w:r>
              <w:t>"R03AL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адренергические средства в комбинации с антихолинергическими средствами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аклидиния бромид + формотерол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порошок для ингаляций дозированный</w:t>
            </w:r>
          </w:p>
        </w:tc>
      </w:tr>
      <w:tr w:rsidR="00716583"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беклометазон + гликопиррония бромид + формотерол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аэрозоль для ингаляций дозированный</w:t>
            </w:r>
          </w:p>
        </w:tc>
      </w:tr>
      <w:tr w:rsidR="00716583"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будесонид + гликопиррония бромид + формотерол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аэрозоль для ингаляций дозированный</w:t>
            </w:r>
          </w:p>
        </w:tc>
      </w:tr>
      <w:tr w:rsidR="00716583"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вилантерол + умеклидиния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порошок для ингаляций дозированный</w:t>
            </w:r>
          </w:p>
        </w:tc>
      </w:tr>
      <w:tr w:rsidR="00716583"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вилантерол + умеклидиния бромид + флутиказона фуроат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порошок для ингаляций дозированный</w:t>
            </w:r>
          </w:p>
        </w:tc>
      </w:tr>
      <w:tr w:rsidR="00716583"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гликопиррония бромид + индакатерол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капсулы с порошком для ингаляций</w:t>
            </w:r>
          </w:p>
        </w:tc>
      </w:tr>
      <w:tr w:rsidR="00716583"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гликопиррония бромид + индакатерол + мометазон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капсулы с порошком для ингаляций</w:t>
            </w:r>
          </w:p>
        </w:tc>
      </w:tr>
      <w:tr w:rsidR="00716583"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ипратропия бромид + фенотерол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аэрозоль для ингаляций дозированный;</w:t>
            </w:r>
          </w:p>
          <w:p w:rsidR="00716583" w:rsidRDefault="00716583">
            <w:pPr>
              <w:pStyle w:val="ConsPlusNormal"/>
            </w:pPr>
            <w:r>
              <w:t>раствор для ингаляций</w:t>
            </w:r>
          </w:p>
        </w:tc>
      </w:tr>
      <w:tr w:rsidR="00716583"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олодатерол + тиотропия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раствор для ингаляций дозированный";</w:t>
            </w:r>
          </w:p>
        </w:tc>
      </w:tr>
    </w:tbl>
    <w:p w:rsidR="00716583" w:rsidRDefault="00716583">
      <w:pPr>
        <w:pStyle w:val="ConsPlusNormal"/>
        <w:jc w:val="both"/>
      </w:pPr>
    </w:p>
    <w:p w:rsidR="00716583" w:rsidRDefault="00716583">
      <w:pPr>
        <w:pStyle w:val="ConsPlusNormal"/>
        <w:ind w:firstLine="540"/>
        <w:jc w:val="both"/>
      </w:pPr>
      <w:r>
        <w:t xml:space="preserve">ц) </w:t>
      </w:r>
      <w:hyperlink r:id="rId29">
        <w:r>
          <w:rPr>
            <w:color w:val="0000FF"/>
          </w:rPr>
          <w:t>позицию</w:t>
        </w:r>
      </w:hyperlink>
      <w:r>
        <w:t>, касающуюся R03DX, изложить в следующей редакции:</w:t>
      </w:r>
    </w:p>
    <w:p w:rsidR="00716583" w:rsidRDefault="00716583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2608"/>
        <w:gridCol w:w="1814"/>
        <w:gridCol w:w="3628"/>
      </w:tblGrid>
      <w:tr w:rsidR="00716583"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  <w:jc w:val="center"/>
            </w:pPr>
            <w:r>
              <w:t>"R03DX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прочие средства системного действия для лечения обструктивных заболеваний дыхательных путей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бенрализумаб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716583"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меполизумаб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лиофилизат для приготовления раствора для подкожного введения</w:t>
            </w:r>
          </w:p>
        </w:tc>
      </w:tr>
      <w:tr w:rsidR="00716583"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омализумаб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лиофилизат для приготовления раствора для подкожного введения;</w:t>
            </w:r>
          </w:p>
          <w:p w:rsidR="00716583" w:rsidRDefault="00716583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716583"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реслизумаб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716583"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тезепелумаб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раствор для подкожного введения".</w:t>
            </w:r>
          </w:p>
        </w:tc>
      </w:tr>
    </w:tbl>
    <w:p w:rsidR="00716583" w:rsidRDefault="00716583">
      <w:pPr>
        <w:pStyle w:val="ConsPlusNormal"/>
        <w:jc w:val="both"/>
      </w:pPr>
    </w:p>
    <w:p w:rsidR="00716583" w:rsidRDefault="00716583">
      <w:pPr>
        <w:pStyle w:val="ConsPlusNormal"/>
        <w:ind w:firstLine="540"/>
        <w:jc w:val="both"/>
      </w:pPr>
      <w:r>
        <w:t xml:space="preserve">2. В </w:t>
      </w:r>
      <w:hyperlink r:id="rId30">
        <w:r>
          <w:rPr>
            <w:color w:val="0000FF"/>
          </w:rPr>
          <w:t>разделе V приложения N 3</w:t>
        </w:r>
      </w:hyperlink>
      <w:r>
        <w:t xml:space="preserve"> к указанному распоряжению:</w:t>
      </w:r>
    </w:p>
    <w:p w:rsidR="00716583" w:rsidRDefault="00716583">
      <w:pPr>
        <w:pStyle w:val="ConsPlusNormal"/>
        <w:spacing w:before="220"/>
        <w:ind w:firstLine="540"/>
        <w:jc w:val="both"/>
      </w:pPr>
      <w:r>
        <w:t xml:space="preserve">а) после </w:t>
      </w:r>
      <w:hyperlink r:id="rId31">
        <w:r>
          <w:rPr>
            <w:color w:val="0000FF"/>
          </w:rPr>
          <w:t>позиции</w:t>
        </w:r>
      </w:hyperlink>
      <w:r>
        <w:t>, касающейся L01BB, дополнить позициями следующего содержания:</w:t>
      </w:r>
    </w:p>
    <w:p w:rsidR="00716583" w:rsidRDefault="00716583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4024"/>
        <w:gridCol w:w="4024"/>
      </w:tblGrid>
      <w:tr w:rsidR="00716583"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  <w:jc w:val="center"/>
            </w:pPr>
            <w:r>
              <w:t>"L01F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моноклональные антитела и конъюгаты антител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</w:tr>
      <w:tr w:rsidR="00716583"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  <w:jc w:val="center"/>
            </w:pPr>
            <w:r>
              <w:t>L01FC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ингибиторы CD38 (кластеры дифференцировки 38)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даратумумаб</w:t>
            </w:r>
          </w:p>
        </w:tc>
      </w:tr>
      <w:tr w:rsidR="00716583"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изатуксимаб";</w:t>
            </w:r>
          </w:p>
        </w:tc>
      </w:tr>
    </w:tbl>
    <w:p w:rsidR="00716583" w:rsidRDefault="00716583">
      <w:pPr>
        <w:pStyle w:val="ConsPlusNormal"/>
        <w:jc w:val="both"/>
      </w:pPr>
    </w:p>
    <w:p w:rsidR="00716583" w:rsidRDefault="00716583">
      <w:pPr>
        <w:pStyle w:val="ConsPlusNormal"/>
        <w:ind w:firstLine="540"/>
        <w:jc w:val="both"/>
      </w:pPr>
      <w:r>
        <w:t xml:space="preserve">б) </w:t>
      </w:r>
      <w:hyperlink r:id="rId32">
        <w:r>
          <w:rPr>
            <w:color w:val="0000FF"/>
          </w:rPr>
          <w:t>позицию</w:t>
        </w:r>
      </w:hyperlink>
      <w:r>
        <w:t>, касающуюся L01XC, изложить в следующей редакции:</w:t>
      </w:r>
    </w:p>
    <w:p w:rsidR="00716583" w:rsidRDefault="00716583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4024"/>
        <w:gridCol w:w="4024"/>
      </w:tblGrid>
      <w:tr w:rsidR="00716583"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  <w:jc w:val="center"/>
            </w:pPr>
            <w:r>
              <w:t>"L01XC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моноклональные антитела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ритуксимаб".</w:t>
            </w:r>
          </w:p>
        </w:tc>
      </w:tr>
    </w:tbl>
    <w:p w:rsidR="00716583" w:rsidRDefault="00716583">
      <w:pPr>
        <w:pStyle w:val="ConsPlusNormal"/>
        <w:jc w:val="both"/>
      </w:pPr>
    </w:p>
    <w:p w:rsidR="00716583" w:rsidRDefault="00716583">
      <w:pPr>
        <w:pStyle w:val="ConsPlusNormal"/>
        <w:ind w:firstLine="540"/>
        <w:jc w:val="both"/>
      </w:pPr>
      <w:r>
        <w:t xml:space="preserve">3. В разделе I приложения N 4 к указанному распоряжению </w:t>
      </w:r>
      <w:hyperlink r:id="rId33">
        <w:r>
          <w:rPr>
            <w:color w:val="0000FF"/>
          </w:rPr>
          <w:t>позицию</w:t>
        </w:r>
      </w:hyperlink>
      <w:r>
        <w:t>, касающуюся J01CA, изложить в следующей редакции:</w:t>
      </w:r>
    </w:p>
    <w:p w:rsidR="00716583" w:rsidRDefault="00716583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2608"/>
        <w:gridCol w:w="1814"/>
        <w:gridCol w:w="3628"/>
      </w:tblGrid>
      <w:tr w:rsidR="00716583"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  <w:jc w:val="center"/>
            </w:pPr>
            <w:r>
              <w:t>"J01CA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пенициллины широкого спектра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амоксициллин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716583" w:rsidRDefault="00716583">
            <w:pPr>
              <w:pStyle w:val="ConsPlusNormal"/>
            </w:pPr>
            <w:r>
              <w:t>капсулы или таблетки".</w:t>
            </w:r>
          </w:p>
        </w:tc>
      </w:tr>
    </w:tbl>
    <w:p w:rsidR="00716583" w:rsidRDefault="00716583">
      <w:pPr>
        <w:pStyle w:val="ConsPlusNormal"/>
        <w:jc w:val="both"/>
      </w:pPr>
    </w:p>
    <w:p w:rsidR="00716583" w:rsidRDefault="00716583">
      <w:pPr>
        <w:pStyle w:val="ConsPlusNormal"/>
        <w:jc w:val="both"/>
      </w:pPr>
    </w:p>
    <w:p w:rsidR="00716583" w:rsidRDefault="00716583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6305C2" w:rsidRDefault="006305C2"/>
    <w:sectPr w:rsidR="006305C2" w:rsidSect="00A17A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6583"/>
    <w:rsid w:val="00445D57"/>
    <w:rsid w:val="006305C2"/>
    <w:rsid w:val="00716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1658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1658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71658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71658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71658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71658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71658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716583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1658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1658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71658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71658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71658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71658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71658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716583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74804&amp;dst=100145" TargetMode="External"/><Relationship Id="rId13" Type="http://schemas.openxmlformats.org/officeDocument/2006/relationships/hyperlink" Target="https://login.consultant.ru/link/?req=doc&amp;base=LAW&amp;n=474804&amp;dst=105143" TargetMode="External"/><Relationship Id="rId18" Type="http://schemas.openxmlformats.org/officeDocument/2006/relationships/hyperlink" Target="https://login.consultant.ru/link/?req=doc&amp;base=LAW&amp;n=474804&amp;dst=1308" TargetMode="External"/><Relationship Id="rId26" Type="http://schemas.openxmlformats.org/officeDocument/2006/relationships/hyperlink" Target="https://login.consultant.ru/link/?req=doc&amp;base=LAW&amp;n=474804&amp;dst=105467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login.consultant.ru/link/?req=doc&amp;base=LAW&amp;n=474804&amp;dst=1324" TargetMode="External"/><Relationship Id="rId34" Type="http://schemas.openxmlformats.org/officeDocument/2006/relationships/fontTable" Target="fontTable.xml"/><Relationship Id="rId7" Type="http://schemas.openxmlformats.org/officeDocument/2006/relationships/hyperlink" Target="https://login.consultant.ru/link/?req=doc&amp;base=LAW&amp;n=474804&amp;dst=105018" TargetMode="External"/><Relationship Id="rId12" Type="http://schemas.openxmlformats.org/officeDocument/2006/relationships/hyperlink" Target="https://login.consultant.ru/link/?req=doc&amp;base=LAW&amp;n=474804&amp;dst=71" TargetMode="External"/><Relationship Id="rId17" Type="http://schemas.openxmlformats.org/officeDocument/2006/relationships/hyperlink" Target="https://login.consultant.ru/link/?req=doc&amp;base=LAW&amp;n=474804&amp;dst=1436" TargetMode="External"/><Relationship Id="rId25" Type="http://schemas.openxmlformats.org/officeDocument/2006/relationships/hyperlink" Target="https://login.consultant.ru/link/?req=doc&amp;base=LAW&amp;n=474804&amp;dst=102045" TargetMode="External"/><Relationship Id="rId33" Type="http://schemas.openxmlformats.org/officeDocument/2006/relationships/hyperlink" Target="https://login.consultant.ru/link/?req=doc&amp;base=LAW&amp;n=474804&amp;dst=104691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login.consultant.ru/link/?req=doc&amp;base=LAW&amp;n=474804&amp;dst=105577" TargetMode="External"/><Relationship Id="rId20" Type="http://schemas.openxmlformats.org/officeDocument/2006/relationships/hyperlink" Target="https://login.consultant.ru/link/?req=doc&amp;base=LAW&amp;n=474804&amp;dst=928" TargetMode="External"/><Relationship Id="rId29" Type="http://schemas.openxmlformats.org/officeDocument/2006/relationships/hyperlink" Target="https://login.consultant.ru/link/?req=doc&amp;base=LAW&amp;n=474804&amp;dst=624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474804" TargetMode="External"/><Relationship Id="rId11" Type="http://schemas.openxmlformats.org/officeDocument/2006/relationships/hyperlink" Target="https://login.consultant.ru/link/?req=doc&amp;base=LAW&amp;n=474804&amp;dst=61" TargetMode="External"/><Relationship Id="rId24" Type="http://schemas.openxmlformats.org/officeDocument/2006/relationships/hyperlink" Target="https://login.consultant.ru/link/?req=doc&amp;base=LAW&amp;n=474804&amp;dst=105363" TargetMode="External"/><Relationship Id="rId32" Type="http://schemas.openxmlformats.org/officeDocument/2006/relationships/hyperlink" Target="https://login.consultant.ru/link/?req=doc&amp;base=LAW&amp;n=474804&amp;dst=104379" TargetMode="External"/><Relationship Id="rId5" Type="http://schemas.openxmlformats.org/officeDocument/2006/relationships/hyperlink" Target="https://www.consultant.ru" TargetMode="External"/><Relationship Id="rId15" Type="http://schemas.openxmlformats.org/officeDocument/2006/relationships/hyperlink" Target="https://login.consultant.ru/link/?req=doc&amp;base=LAW&amp;n=474804&amp;dst=101092" TargetMode="External"/><Relationship Id="rId23" Type="http://schemas.openxmlformats.org/officeDocument/2006/relationships/hyperlink" Target="https://login.consultant.ru/link/?req=doc&amp;base=LAW&amp;n=474804&amp;dst=1478" TargetMode="External"/><Relationship Id="rId28" Type="http://schemas.openxmlformats.org/officeDocument/2006/relationships/hyperlink" Target="https://login.consultant.ru/link/?req=doc&amp;base=LAW&amp;n=474804&amp;dst=594" TargetMode="External"/><Relationship Id="rId10" Type="http://schemas.openxmlformats.org/officeDocument/2006/relationships/hyperlink" Target="https://login.consultant.ru/link/?req=doc&amp;base=LAW&amp;n=474804&amp;dst=100353" TargetMode="External"/><Relationship Id="rId19" Type="http://schemas.openxmlformats.org/officeDocument/2006/relationships/hyperlink" Target="https://login.consultant.ru/link/?req=doc&amp;base=LAW&amp;n=474804&amp;dst=920" TargetMode="External"/><Relationship Id="rId31" Type="http://schemas.openxmlformats.org/officeDocument/2006/relationships/hyperlink" Target="https://login.consultant.ru/link/?req=doc&amp;base=LAW&amp;n=474804&amp;dst=10437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474804&amp;dst=100185" TargetMode="External"/><Relationship Id="rId14" Type="http://schemas.openxmlformats.org/officeDocument/2006/relationships/hyperlink" Target="https://login.consultant.ru/link/?req=doc&amp;base=LAW&amp;n=474804&amp;dst=100732" TargetMode="External"/><Relationship Id="rId22" Type="http://schemas.openxmlformats.org/officeDocument/2006/relationships/hyperlink" Target="https://login.consultant.ru/link/?req=doc&amp;base=LAW&amp;n=474804&amp;dst=1324" TargetMode="External"/><Relationship Id="rId27" Type="http://schemas.openxmlformats.org/officeDocument/2006/relationships/hyperlink" Target="https://login.consultant.ru/link/?req=doc&amp;base=LAW&amp;n=474804&amp;dst=585" TargetMode="External"/><Relationship Id="rId30" Type="http://schemas.openxmlformats.org/officeDocument/2006/relationships/hyperlink" Target="https://login.consultant.ru/link/?req=doc&amp;base=LAW&amp;n=474804&amp;dst=104364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2814</Words>
  <Characters>16044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Ялушич Вячеслав Владимирович</dc:creator>
  <cp:lastModifiedBy>Ялушич Екатерина Александровна</cp:lastModifiedBy>
  <cp:revision>2</cp:revision>
  <dcterms:created xsi:type="dcterms:W3CDTF">2025-11-10T05:23:00Z</dcterms:created>
  <dcterms:modified xsi:type="dcterms:W3CDTF">2025-11-10T05:23:00Z</dcterms:modified>
</cp:coreProperties>
</file>